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4F6176">
      <w:pPr>
        <w:spacing w:line="540" w:lineRule="exac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附件2-3</w:t>
      </w:r>
    </w:p>
    <w:p w14:paraId="565AC2B5">
      <w:pPr>
        <w:pStyle w:val="2"/>
        <w:spacing w:line="360" w:lineRule="atLeast"/>
        <w:jc w:val="center"/>
        <w:rPr>
          <w:rFonts w:ascii="Times New Roman" w:hAnsi="Times New Roman" w:eastAsia="黑体" w:cs="Times New Roman"/>
          <w:bCs w:val="0"/>
          <w:sz w:val="36"/>
          <w:szCs w:val="36"/>
        </w:rPr>
      </w:pPr>
      <w:r>
        <w:rPr>
          <w:rFonts w:hint="eastAsia" w:ascii="Times New Roman" w:hAnsi="Times New Roman" w:eastAsia="黑体" w:cs="Times New Roman"/>
          <w:bCs w:val="0"/>
          <w:sz w:val="36"/>
          <w:szCs w:val="36"/>
        </w:rPr>
        <w:t>第</w:t>
      </w:r>
      <w:r>
        <w:rPr>
          <w:rFonts w:hint="eastAsia" w:ascii="Times New Roman" w:hAnsi="Times New Roman" w:eastAsia="黑体" w:cs="Times New Roman"/>
          <w:bCs w:val="0"/>
          <w:sz w:val="36"/>
          <w:szCs w:val="36"/>
          <w:lang w:eastAsia="zh-CN"/>
        </w:rPr>
        <w:t>五届</w:t>
      </w:r>
      <w:r>
        <w:rPr>
          <w:rFonts w:hint="eastAsia" w:ascii="Times New Roman" w:hAnsi="Times New Roman" w:eastAsia="黑体" w:cs="Times New Roman"/>
          <w:bCs w:val="0"/>
          <w:sz w:val="36"/>
          <w:szCs w:val="36"/>
        </w:rPr>
        <w:t>浙江省大学生</w:t>
      </w:r>
      <w:r>
        <w:rPr>
          <w:rFonts w:hint="eastAsia" w:ascii="Times New Roman" w:hAnsi="Times New Roman" w:eastAsia="黑体" w:cs="Times New Roman"/>
          <w:bCs w:val="0"/>
          <w:sz w:val="36"/>
          <w:szCs w:val="36"/>
          <w:lang w:eastAsia="zh-CN"/>
        </w:rPr>
        <w:t>低碳</w:t>
      </w:r>
      <w:r>
        <w:rPr>
          <w:rFonts w:hint="eastAsia" w:ascii="Times New Roman" w:hAnsi="Times New Roman" w:eastAsia="黑体" w:cs="Times New Roman"/>
          <w:bCs w:val="0"/>
          <w:sz w:val="36"/>
          <w:szCs w:val="36"/>
        </w:rPr>
        <w:t>科技创新大赛</w:t>
      </w:r>
    </w:p>
    <w:p w14:paraId="72EC8799">
      <w:pPr>
        <w:spacing w:before="156" w:beforeLines="50" w:line="400" w:lineRule="exact"/>
        <w:jc w:val="center"/>
        <w:rPr>
          <w:rFonts w:ascii="Times New Roman" w:hAnsi="Times New Roman" w:eastAsia="黑体"/>
          <w:bCs/>
          <w:sz w:val="30"/>
          <w:szCs w:val="30"/>
        </w:rPr>
      </w:pPr>
      <w:r>
        <w:rPr>
          <w:rFonts w:ascii="Times New Roman" w:hAnsi="Times New Roman" w:eastAsia="黑体"/>
          <w:bCs/>
          <w:color w:val="000000"/>
          <w:kern w:val="0"/>
          <w:sz w:val="30"/>
          <w:szCs w:val="30"/>
        </w:rPr>
        <w:t>作品书</w:t>
      </w:r>
      <w:r>
        <w:rPr>
          <w:rFonts w:ascii="Times New Roman" w:hAnsi="Times New Roman" w:eastAsia="黑体"/>
          <w:bCs/>
          <w:sz w:val="30"/>
          <w:szCs w:val="30"/>
        </w:rPr>
        <w:t>格式规范</w:t>
      </w:r>
      <w:r>
        <w:rPr>
          <w:rFonts w:ascii="Times New Roman" w:hAnsi="Times New Roman" w:eastAsia="黑体"/>
          <w:bCs/>
          <w:color w:val="000000"/>
          <w:kern w:val="0"/>
          <w:sz w:val="30"/>
          <w:szCs w:val="30"/>
        </w:rPr>
        <w:t>（</w:t>
      </w:r>
      <w:r>
        <w:rPr>
          <w:rFonts w:hint="eastAsia" w:ascii="Times New Roman" w:hAnsi="Times New Roman" w:eastAsia="黑体"/>
          <w:sz w:val="30"/>
          <w:szCs w:val="30"/>
        </w:rPr>
        <w:t>产品设计与成果应用</w:t>
      </w:r>
      <w:r>
        <w:rPr>
          <w:rFonts w:ascii="Times New Roman" w:hAnsi="Times New Roman" w:eastAsia="黑体"/>
          <w:sz w:val="30"/>
          <w:szCs w:val="30"/>
        </w:rPr>
        <w:t>类）</w:t>
      </w:r>
    </w:p>
    <w:p w14:paraId="771ADD5C">
      <w:pPr>
        <w:jc w:val="center"/>
        <w:rPr>
          <w:rFonts w:ascii="Times New Roman" w:hAnsi="Times New Roman"/>
          <w:b/>
          <w:sz w:val="36"/>
          <w:szCs w:val="36"/>
        </w:rPr>
      </w:pPr>
    </w:p>
    <w:p w14:paraId="5CAAF819">
      <w:pPr>
        <w:spacing w:line="560" w:lineRule="exact"/>
        <w:ind w:firstLine="482" w:firstLineChars="200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1</w:t>
      </w:r>
      <w:r>
        <w:rPr>
          <w:rFonts w:ascii="Times New Roman" w:hAnsi="Times New Roman"/>
          <w:sz w:val="24"/>
          <w:szCs w:val="28"/>
        </w:rPr>
        <w:t>．</w:t>
      </w:r>
      <w:r>
        <w:rPr>
          <w:rFonts w:ascii="Times New Roman" w:hAnsi="Times New Roman"/>
          <w:b/>
          <w:sz w:val="24"/>
          <w:szCs w:val="28"/>
        </w:rPr>
        <w:t>总体要求</w:t>
      </w:r>
    </w:p>
    <w:p w14:paraId="25FCC3A8">
      <w:pPr>
        <w:spacing w:line="560" w:lineRule="exact"/>
        <w:ind w:firstLine="480" w:firstLineChars="20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全文控制在1</w:t>
      </w:r>
      <w:r>
        <w:rPr>
          <w:rFonts w:hint="eastAsia" w:ascii="Times New Roman" w:hAnsi="Times New Roman"/>
          <w:sz w:val="24"/>
          <w:szCs w:val="28"/>
        </w:rPr>
        <w:t>5</w:t>
      </w:r>
      <w:r>
        <w:rPr>
          <w:rFonts w:ascii="Times New Roman" w:hAnsi="Times New Roman"/>
          <w:sz w:val="24"/>
          <w:szCs w:val="28"/>
        </w:rPr>
        <w:t>页A4纸以内（含附件），并按以下顺序编排：</w:t>
      </w:r>
      <w:r>
        <w:rPr>
          <w:rFonts w:hint="eastAsia" w:ascii="Times New Roman" w:hAnsi="Times New Roman"/>
          <w:sz w:val="24"/>
          <w:szCs w:val="28"/>
        </w:rPr>
        <w:t>作品名</w:t>
      </w:r>
      <w:r>
        <w:rPr>
          <w:rFonts w:ascii="Times New Roman" w:hAnsi="Times New Roman"/>
          <w:sz w:val="24"/>
          <w:szCs w:val="28"/>
        </w:rPr>
        <w:t>、摘要、关键词、正文</w:t>
      </w:r>
      <w:r>
        <w:rPr>
          <w:rFonts w:hint="eastAsia" w:ascii="Times New Roman" w:hAnsi="Times New Roman"/>
          <w:sz w:val="24"/>
          <w:szCs w:val="28"/>
        </w:rPr>
        <w:t>（</w:t>
      </w:r>
      <w:r>
        <w:rPr>
          <w:rFonts w:ascii="Times New Roman" w:hAnsi="Times New Roman"/>
          <w:sz w:val="24"/>
          <w:szCs w:val="28"/>
        </w:rPr>
        <w:t>可自行组织，但应包括下列内容：背景与意义、理念与方案、作品实物图或模型图</w:t>
      </w:r>
      <w:r>
        <w:rPr>
          <w:rFonts w:ascii="Times New Roman" w:hAnsi="Times New Roman"/>
          <w:sz w:val="24"/>
        </w:rPr>
        <w:t>、专利及版权文件、</w:t>
      </w:r>
      <w:r>
        <w:rPr>
          <w:rFonts w:ascii="Times New Roman" w:hAnsi="Times New Roman"/>
          <w:sz w:val="24"/>
          <w:szCs w:val="28"/>
        </w:rPr>
        <w:t>创新性、</w:t>
      </w:r>
      <w:r>
        <w:rPr>
          <w:rFonts w:ascii="Times New Roman" w:hAnsi="Times New Roman"/>
          <w:sz w:val="24"/>
        </w:rPr>
        <w:t>应用与社会影响、产品鉴定</w:t>
      </w:r>
      <w:r>
        <w:rPr>
          <w:rFonts w:ascii="Times New Roman" w:hAnsi="Times New Roman"/>
          <w:sz w:val="24"/>
          <w:szCs w:val="28"/>
        </w:rPr>
        <w:t>等</w:t>
      </w:r>
      <w:r>
        <w:rPr>
          <w:rFonts w:hint="eastAsia" w:ascii="Times New Roman" w:hAnsi="Times New Roman"/>
          <w:sz w:val="24"/>
          <w:szCs w:val="28"/>
        </w:rPr>
        <w:t>）</w:t>
      </w:r>
      <w:r>
        <w:rPr>
          <w:rFonts w:ascii="Times New Roman" w:hAnsi="Times New Roman"/>
          <w:sz w:val="24"/>
          <w:szCs w:val="28"/>
        </w:rPr>
        <w:t>、附件。不加封面。请采用Microsoft Word 2010及以上版本编排。</w:t>
      </w:r>
    </w:p>
    <w:p w14:paraId="6CEABF13">
      <w:pPr>
        <w:spacing w:line="560" w:lineRule="exact"/>
        <w:ind w:firstLine="482" w:firstLineChars="200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2．页面要求</w:t>
      </w:r>
    </w:p>
    <w:p w14:paraId="04B11AD7">
      <w:pPr>
        <w:spacing w:line="560" w:lineRule="exact"/>
        <w:ind w:firstLine="480" w:firstLineChars="20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A4页面。页边距：上25</w:t>
      </w:r>
      <w:r>
        <w:rPr>
          <w:rFonts w:hint="eastAsia"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mm，下25</w:t>
      </w:r>
      <w:r>
        <w:rPr>
          <w:rFonts w:hint="eastAsia"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mm，左、右各20</w:t>
      </w:r>
      <w:r>
        <w:rPr>
          <w:rFonts w:hint="eastAsia"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mm。标题采用三号黑体，正文中文采用小四号宋体、英文及数字符号等采用小四号Times New Roman字体，行间距为1.5倍。不要设置页眉，页码位于页面底部居中。</w:t>
      </w:r>
    </w:p>
    <w:p w14:paraId="195F62FB">
      <w:pPr>
        <w:spacing w:line="560" w:lineRule="exact"/>
        <w:ind w:firstLine="482" w:firstLineChars="200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3．图表要求</w:t>
      </w:r>
    </w:p>
    <w:p w14:paraId="7B64E57C">
      <w:pPr>
        <w:spacing w:line="560" w:lineRule="exact"/>
        <w:ind w:firstLine="480" w:firstLineChars="20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插图使用题注格式按序编号，并加图名（位于图片下方）。图片采用嵌入型版式，如图1所示。图中文字汉语使用小五号宋体、英文及数字使用小五号Times New Roman（矢量、矩阵用黑斜体）；坐标图的横纵坐标应标注对应量的名称和符号/单位。</w:t>
      </w:r>
    </w:p>
    <w:p w14:paraId="68C4CFFD">
      <w:pPr>
        <w:spacing w:line="560" w:lineRule="exact"/>
        <w:ind w:firstLine="480" w:firstLineChars="20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表格按序编号，并加</w:t>
      </w:r>
      <w:r>
        <w:rPr>
          <w:rFonts w:hint="eastAsia" w:ascii="Times New Roman" w:hAnsi="Times New Roman"/>
          <w:sz w:val="24"/>
          <w:szCs w:val="28"/>
        </w:rPr>
        <w:t>标题</w:t>
      </w:r>
      <w:r>
        <w:rPr>
          <w:rFonts w:ascii="Times New Roman" w:hAnsi="Times New Roman"/>
          <w:sz w:val="24"/>
          <w:szCs w:val="28"/>
        </w:rPr>
        <w:t>（位于表上方）。采用三线表，必要时可加辅助线。</w:t>
      </w:r>
    </w:p>
    <w:p w14:paraId="616C062F">
      <w:pPr>
        <w:widowControl/>
        <w:jc w:val="lef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br w:type="page"/>
      </w:r>
    </w:p>
    <w:p w14:paraId="08361AC9">
      <w:pPr>
        <w:spacing w:line="480" w:lineRule="exact"/>
        <w:rPr>
          <w:rFonts w:ascii="Times New Roman" w:hAnsi="Times New Roman" w:eastAsia="仿宋_GB2312"/>
          <w:b/>
          <w:sz w:val="24"/>
          <w:szCs w:val="28"/>
        </w:rPr>
      </w:pPr>
      <w:r>
        <w:rPr>
          <w:rFonts w:hint="eastAsia" w:ascii="Times New Roman" w:hAnsi="Times New Roman" w:eastAsia="仿宋_GB2312"/>
          <w:b/>
          <w:sz w:val="24"/>
          <w:szCs w:val="28"/>
        </w:rPr>
        <w:t>示例2-3：</w:t>
      </w:r>
    </w:p>
    <w:p w14:paraId="1EAE3F1A">
      <w:pPr>
        <w:spacing w:before="156" w:beforeLines="50" w:after="156" w:afterLines="50"/>
        <w:jc w:val="center"/>
        <w:rPr>
          <w:rFonts w:ascii="Times New Roman" w:hAnsi="Times New Roman" w:eastAsia="黑体"/>
          <w:bCs/>
          <w:sz w:val="32"/>
          <w:szCs w:val="32"/>
        </w:rPr>
      </w:pPr>
      <w:r>
        <w:rPr>
          <w:rFonts w:hint="eastAsia" w:ascii="Times New Roman" w:hAnsi="Times New Roman" w:eastAsia="黑体"/>
          <w:bCs/>
          <w:sz w:val="32"/>
        </w:rPr>
        <w:t>低碳零耗建筑设计</w:t>
      </w:r>
      <w:r>
        <w:rPr>
          <w:rFonts w:ascii="Times New Roman" w:hAnsi="Times New Roman" w:eastAsia="黑体"/>
          <w:bCs/>
          <w:sz w:val="32"/>
          <w:szCs w:val="32"/>
        </w:rPr>
        <w:t xml:space="preserve"> </w:t>
      </w:r>
    </w:p>
    <w:p w14:paraId="104E3B7C">
      <w:pPr>
        <w:spacing w:line="440" w:lineRule="exact"/>
        <w:jc w:val="center"/>
        <w:rPr>
          <w:rFonts w:ascii="Times New Roman" w:hAnsi="Times New Roman"/>
          <w:sz w:val="24"/>
          <w:szCs w:val="28"/>
        </w:rPr>
      </w:pPr>
    </w:p>
    <w:p w14:paraId="2F8DD151">
      <w:pPr>
        <w:spacing w:line="440" w:lineRule="exac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摘要</w:t>
      </w:r>
      <w:r>
        <w:rPr>
          <w:rFonts w:hint="eastAsia" w:ascii="Times New Roman" w:hAnsi="Times New Roman"/>
          <w:b/>
          <w:sz w:val="24"/>
        </w:rPr>
        <w:t>：</w:t>
      </w:r>
    </w:p>
    <w:p w14:paraId="6EA3DD86">
      <w:pPr>
        <w:spacing w:line="440" w:lineRule="exac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关键词</w:t>
      </w:r>
      <w:r>
        <w:rPr>
          <w:rFonts w:hint="eastAsia" w:ascii="Times New Roman" w:hAnsi="Times New Roman"/>
          <w:b/>
          <w:sz w:val="24"/>
        </w:rPr>
        <w:t>：</w:t>
      </w:r>
    </w:p>
    <w:p w14:paraId="1F765A5D">
      <w:pPr>
        <w:spacing w:line="440" w:lineRule="exact"/>
        <w:rPr>
          <w:rFonts w:ascii="Times New Roman" w:hAnsi="Times New Roman"/>
          <w:sz w:val="24"/>
        </w:rPr>
      </w:pPr>
    </w:p>
    <w:p w14:paraId="1A755EDB"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 背景</w:t>
      </w:r>
      <w:r>
        <w:rPr>
          <w:rFonts w:hint="eastAsia" w:ascii="Times New Roman" w:hAnsi="Times New Roman"/>
          <w:b/>
          <w:sz w:val="24"/>
        </w:rPr>
        <w:t>与意义</w:t>
      </w:r>
    </w:p>
    <w:p w14:paraId="23C4AC76"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2. 理念与</w:t>
      </w:r>
      <w:r>
        <w:rPr>
          <w:rFonts w:ascii="Times New Roman" w:hAnsi="Times New Roman"/>
          <w:b/>
          <w:sz w:val="24"/>
        </w:rPr>
        <w:t>方案</w:t>
      </w:r>
    </w:p>
    <w:p w14:paraId="4B18E77C"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3</w:t>
      </w:r>
      <w:r>
        <w:rPr>
          <w:rFonts w:ascii="Times New Roman" w:hAnsi="Times New Roman"/>
          <w:b/>
          <w:sz w:val="24"/>
        </w:rPr>
        <w:t xml:space="preserve">. </w:t>
      </w:r>
      <w:r>
        <w:rPr>
          <w:rFonts w:hint="eastAsia" w:ascii="Times New Roman" w:hAnsi="Times New Roman"/>
          <w:b/>
          <w:sz w:val="24"/>
        </w:rPr>
        <w:t>作品实物图或模型图</w:t>
      </w:r>
      <w:r>
        <w:rPr>
          <w:rFonts w:ascii="Times New Roman" w:hAnsi="Times New Roman"/>
          <w:b/>
          <w:sz w:val="24"/>
        </w:rPr>
        <w:t>（例如，效果图、内部结构图等）</w:t>
      </w:r>
    </w:p>
    <w:p w14:paraId="157557DE">
      <w:pPr>
        <w:spacing w:line="360" w:lineRule="auto"/>
        <w:rPr>
          <w:rFonts w:ascii="Times New Roman" w:hAnsi="Times New Roman"/>
          <w:b/>
          <w:sz w:val="24"/>
        </w:rPr>
      </w:pPr>
    </w:p>
    <w:p w14:paraId="51B88EA1">
      <w:pPr>
        <w:spacing w:line="36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产品效果图如图1所示，</w:t>
      </w:r>
    </w:p>
    <w:p w14:paraId="30448C0F">
      <w:pPr>
        <w:spacing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 w:eastAsiaTheme="minorEastAsia"/>
          <w:b/>
          <w:sz w:val="24"/>
          <w:lang w:eastAsia="zh-CN"/>
        </w:rPr>
        <w:drawing>
          <wp:inline distT="0" distB="0" distL="114300" distR="114300">
            <wp:extent cx="1529080" cy="1522730"/>
            <wp:effectExtent l="0" t="0" r="13970" b="1270"/>
            <wp:docPr id="9" name="图片 9" descr="1124低碳大赛新版logo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124低碳大赛新版logo_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9080" cy="1522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BDDF8F">
      <w:pPr>
        <w:spacing w:line="36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图1 </w:t>
      </w:r>
      <w:r>
        <w:rPr>
          <w:rFonts w:hint="eastAsia" w:ascii="Times New Roman" w:hAnsi="Times New Roman"/>
          <w:sz w:val="18"/>
          <w:szCs w:val="18"/>
          <w:lang w:eastAsia="zh-CN"/>
        </w:rPr>
        <w:t>低碳</w:t>
      </w:r>
      <w:r>
        <w:rPr>
          <w:rFonts w:ascii="Times New Roman" w:hAnsi="Times New Roman"/>
          <w:sz w:val="18"/>
          <w:szCs w:val="18"/>
        </w:rPr>
        <w:t>大赛LOGO</w:t>
      </w:r>
    </w:p>
    <w:p w14:paraId="1F364F10">
      <w:pPr>
        <w:spacing w:line="360" w:lineRule="auto"/>
        <w:rPr>
          <w:rFonts w:ascii="Times New Roman" w:hAnsi="Times New Roman"/>
          <w:b/>
          <w:sz w:val="24"/>
        </w:rPr>
      </w:pPr>
    </w:p>
    <w:p w14:paraId="0183D1B0"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4</w:t>
      </w:r>
      <w:r>
        <w:rPr>
          <w:rFonts w:ascii="Times New Roman" w:hAnsi="Times New Roman"/>
          <w:b/>
          <w:sz w:val="24"/>
        </w:rPr>
        <w:t>. 专利及版权文件（非必须，如有请附于正文后）</w:t>
      </w:r>
    </w:p>
    <w:p w14:paraId="390FFB3E"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5</w:t>
      </w:r>
      <w:r>
        <w:rPr>
          <w:rFonts w:ascii="Times New Roman" w:hAnsi="Times New Roman"/>
          <w:b/>
          <w:sz w:val="24"/>
        </w:rPr>
        <w:t>. 创新性</w:t>
      </w:r>
      <w:r>
        <w:rPr>
          <w:rFonts w:hint="eastAsia" w:ascii="Times New Roman" w:hAnsi="Times New Roman"/>
          <w:b/>
          <w:sz w:val="24"/>
        </w:rPr>
        <w:t>（包括与绿色低碳</w:t>
      </w:r>
      <w:r>
        <w:rPr>
          <w:rFonts w:hint="eastAsia" w:ascii="Times New Roman" w:hAnsi="Times New Roman"/>
          <w:b/>
          <w:sz w:val="24"/>
          <w:lang w:val="en-US" w:eastAsia="zh-CN"/>
        </w:rPr>
        <w:t>发展</w:t>
      </w:r>
      <w:r>
        <w:rPr>
          <w:rFonts w:hint="eastAsia" w:ascii="Times New Roman" w:hAnsi="Times New Roman"/>
          <w:b/>
          <w:sz w:val="24"/>
        </w:rPr>
        <w:t>的相关度等）</w:t>
      </w:r>
    </w:p>
    <w:p w14:paraId="35265D1B"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6</w:t>
      </w:r>
      <w:r>
        <w:rPr>
          <w:rFonts w:ascii="Times New Roman" w:hAnsi="Times New Roman"/>
          <w:b/>
          <w:sz w:val="24"/>
        </w:rPr>
        <w:t>. 应用与社会影响（例如，作品应用范围、可行性、推广前景、市场分析及经济社会效益预测）</w:t>
      </w:r>
    </w:p>
    <w:p w14:paraId="1BCEA31C"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7</w:t>
      </w:r>
      <w:r>
        <w:rPr>
          <w:rFonts w:ascii="Times New Roman" w:hAnsi="Times New Roman"/>
          <w:b/>
          <w:sz w:val="24"/>
        </w:rPr>
        <w:t xml:space="preserve">. </w:t>
      </w:r>
      <w:r>
        <w:rPr>
          <w:rFonts w:hint="eastAsia" w:ascii="Times New Roman" w:hAnsi="Times New Roman"/>
          <w:b/>
          <w:sz w:val="24"/>
        </w:rPr>
        <w:t>附件</w:t>
      </w:r>
      <w:r>
        <w:rPr>
          <w:rFonts w:ascii="Times New Roman" w:hAnsi="Times New Roman"/>
          <w:b/>
          <w:sz w:val="24"/>
        </w:rPr>
        <w:t>（包括</w:t>
      </w:r>
      <w:r>
        <w:rPr>
          <w:rFonts w:hint="eastAsia" w:ascii="Times New Roman" w:hAnsi="Times New Roman"/>
          <w:b/>
          <w:sz w:val="24"/>
        </w:rPr>
        <w:t>但不限于第三</w:t>
      </w:r>
      <w:r>
        <w:rPr>
          <w:rFonts w:ascii="Times New Roman" w:hAnsi="Times New Roman"/>
          <w:b/>
          <w:sz w:val="24"/>
        </w:rPr>
        <w:t>方证明</w:t>
      </w:r>
      <w:r>
        <w:rPr>
          <w:rFonts w:hint="eastAsia" w:ascii="Times New Roman" w:hAnsi="Times New Roman"/>
          <w:b/>
          <w:sz w:val="24"/>
        </w:rPr>
        <w:t>及</w:t>
      </w:r>
      <w:r>
        <w:rPr>
          <w:rFonts w:ascii="Times New Roman" w:hAnsi="Times New Roman"/>
          <w:b/>
          <w:sz w:val="24"/>
        </w:rPr>
        <w:t>社会影响）</w:t>
      </w:r>
    </w:p>
    <w:p w14:paraId="0BFC6FCA">
      <w:pPr>
        <w:spacing w:line="360" w:lineRule="auto"/>
        <w:rPr>
          <w:rFonts w:ascii="Times New Roman" w:hAnsi="Times New Roman"/>
          <w:b/>
          <w:sz w:val="24"/>
        </w:rPr>
      </w:pPr>
    </w:p>
    <w:p w14:paraId="61543BE4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参考文献</w:t>
      </w:r>
    </w:p>
    <w:p w14:paraId="55423A38">
      <w:pPr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  <w:sz w:val="24"/>
        </w:rPr>
        <w:t>张</w:t>
      </w:r>
      <w:r>
        <w:rPr>
          <w:rFonts w:ascii="Times New Roman" w:hAnsi="Times New Roman"/>
          <w:sz w:val="24"/>
        </w:rPr>
        <w:t>xx</w:t>
      </w:r>
      <w:r>
        <w:rPr>
          <w:rFonts w:hint="eastAsia" w:ascii="Times New Roman" w:hAnsi="Times New Roman"/>
          <w:sz w:val="24"/>
        </w:rPr>
        <w:t>, 王</w:t>
      </w:r>
      <w:r>
        <w:rPr>
          <w:rFonts w:ascii="Times New Roman" w:hAnsi="Times New Roman"/>
          <w:sz w:val="24"/>
        </w:rPr>
        <w:t>xx</w:t>
      </w:r>
      <w:r>
        <w:rPr>
          <w:rFonts w:hint="eastAsia"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李xx</w:t>
      </w:r>
      <w:r>
        <w:rPr>
          <w:rFonts w:hint="eastAsia" w:ascii="Times New Roman" w:hAnsi="Times New Roman"/>
          <w:sz w:val="24"/>
        </w:rPr>
        <w:t>, 等. 废弃生物质高值化利用研究进展[</w:t>
      </w:r>
      <w:r>
        <w:rPr>
          <w:rFonts w:ascii="Times New Roman" w:hAnsi="Times New Roman"/>
          <w:sz w:val="24"/>
        </w:rPr>
        <w:t>J]</w:t>
      </w:r>
      <w:r>
        <w:rPr>
          <w:rFonts w:hint="eastAsia" w:ascii="Times New Roman" w:hAnsi="Times New Roman"/>
          <w:sz w:val="24"/>
        </w:rPr>
        <w:t>. 化工学报,</w:t>
      </w:r>
      <w:r>
        <w:rPr>
          <w:rFonts w:ascii="Times New Roman" w:hAnsi="Times New Roman"/>
          <w:sz w:val="24"/>
        </w:rPr>
        <w:t xml:space="preserve"> 2019</w:t>
      </w:r>
      <w:r>
        <w:rPr>
          <w:rFonts w:hint="eastAsia"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24(8)</w:t>
      </w:r>
      <w:r>
        <w:rPr>
          <w:rFonts w:hint="eastAsia"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 xml:space="preserve"> 365-372</w:t>
      </w:r>
      <w:r>
        <w:rPr>
          <w:rFonts w:hint="eastAsia" w:ascii="Times New Roman" w:hAnsi="Times New Roman"/>
          <w:sz w:val="24"/>
        </w:rPr>
        <w:t>.</w:t>
      </w:r>
    </w:p>
    <w:p w14:paraId="3C6AE47E">
      <w:pPr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  <w:sz w:val="24"/>
        </w:rPr>
        <w:t>王</w:t>
      </w:r>
      <w:r>
        <w:rPr>
          <w:rFonts w:ascii="Times New Roman" w:hAnsi="Times New Roman"/>
          <w:sz w:val="24"/>
        </w:rPr>
        <w:t>xx</w:t>
      </w:r>
      <w:r>
        <w:rPr>
          <w:rFonts w:hint="eastAsia" w:ascii="Times New Roman" w:hAnsi="Times New Roman"/>
          <w:sz w:val="24"/>
        </w:rPr>
        <w:t>和李xx. 生物质高值化利用[M</w:t>
      </w:r>
      <w:r>
        <w:rPr>
          <w:rFonts w:ascii="Times New Roman" w:hAnsi="Times New Roman"/>
          <w:sz w:val="24"/>
        </w:rPr>
        <w:t>]</w:t>
      </w:r>
      <w:r>
        <w:rPr>
          <w:rFonts w:hint="eastAsia"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xxxxxx出版社</w:t>
      </w:r>
      <w:r>
        <w:rPr>
          <w:rFonts w:hint="eastAsia"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>
        <w:rPr>
          <w:rFonts w:hint="eastAsia" w:ascii="Times New Roman" w:hAnsi="Times New Roman"/>
          <w:sz w:val="24"/>
        </w:rPr>
        <w:t>北京,</w:t>
      </w:r>
      <w:r>
        <w:rPr>
          <w:rFonts w:ascii="Times New Roman" w:hAnsi="Times New Roman"/>
          <w:sz w:val="24"/>
        </w:rPr>
        <w:t xml:space="preserve"> 2016</w:t>
      </w:r>
      <w:r>
        <w:rPr>
          <w:rFonts w:hint="eastAsia"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>15-47.</w:t>
      </w:r>
    </w:p>
    <w:p w14:paraId="13482486">
      <w:pPr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Cs/>
          <w:sz w:val="24"/>
        </w:rPr>
        <w:t>Zeng SY</w:t>
      </w:r>
      <w:r>
        <w:rPr>
          <w:rFonts w:hint="eastAsia" w:ascii="Times New Roman" w:hAnsi="Times New Roman"/>
          <w:bCs/>
          <w:sz w:val="24"/>
        </w:rPr>
        <w:t>,</w:t>
      </w:r>
      <w:r>
        <w:rPr>
          <w:rFonts w:ascii="Times New Roman" w:hAnsi="Times New Roman"/>
          <w:bCs/>
          <w:sz w:val="24"/>
        </w:rPr>
        <w:t xml:space="preserve"> He L, Li J</w:t>
      </w:r>
      <w:r>
        <w:rPr>
          <w:rFonts w:hint="eastAsia" w:ascii="Times New Roman" w:hAnsi="Times New Roman"/>
          <w:bCs/>
          <w:sz w:val="24"/>
        </w:rPr>
        <w:t>, et al.</w:t>
      </w:r>
      <w:r>
        <w:rPr>
          <w:rFonts w:ascii="Times New Roman" w:hAnsi="Times New Roman"/>
          <w:bCs/>
          <w:sz w:val="24"/>
        </w:rPr>
        <w:t xml:space="preserve"> Kinetic of kraft delignification process [J]. Bioresource Technology</w:t>
      </w:r>
      <w:r>
        <w:rPr>
          <w:rFonts w:hint="eastAsia" w:ascii="Times New Roman" w:hAnsi="Times New Roman"/>
          <w:bCs/>
          <w:sz w:val="24"/>
        </w:rPr>
        <w:t>,</w:t>
      </w:r>
      <w:r>
        <w:rPr>
          <w:rFonts w:ascii="Times New Roman" w:hAnsi="Times New Roman"/>
          <w:bCs/>
          <w:sz w:val="24"/>
        </w:rPr>
        <w:t xml:space="preserve"> 2016, 15 (2): 1184-1190.</w:t>
      </w:r>
    </w:p>
    <w:p w14:paraId="7B385A48">
      <w:pPr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  <w:bCs/>
          <w:sz w:val="24"/>
        </w:rPr>
        <w:t>Wang</w:t>
      </w:r>
      <w:r>
        <w:rPr>
          <w:rFonts w:ascii="Times New Roman" w:hAnsi="Times New Roman"/>
          <w:bCs/>
          <w:sz w:val="24"/>
        </w:rPr>
        <w:t xml:space="preserve"> S</w:t>
      </w:r>
      <w:r>
        <w:rPr>
          <w:rFonts w:hint="eastAsia" w:ascii="Times New Roman" w:hAnsi="Times New Roman"/>
          <w:bCs/>
          <w:sz w:val="24"/>
        </w:rPr>
        <w:t>W and Li</w:t>
      </w:r>
      <w:r>
        <w:rPr>
          <w:rFonts w:ascii="Times New Roman" w:hAnsi="Times New Roman"/>
          <w:bCs/>
          <w:sz w:val="24"/>
        </w:rPr>
        <w:t xml:space="preserve"> </w:t>
      </w:r>
      <w:r>
        <w:rPr>
          <w:rFonts w:hint="eastAsia" w:ascii="Times New Roman" w:hAnsi="Times New Roman"/>
          <w:bCs/>
          <w:sz w:val="24"/>
        </w:rPr>
        <w:t>YT.</w:t>
      </w:r>
      <w:r>
        <w:rPr>
          <w:rFonts w:ascii="Times New Roman" w:hAnsi="Times New Roman"/>
          <w:bCs/>
          <w:sz w:val="24"/>
        </w:rPr>
        <w:t xml:space="preserve"> Effect of H</w:t>
      </w:r>
      <w:r>
        <w:rPr>
          <w:rFonts w:ascii="Times New Roman" w:hAnsi="Times New Roman"/>
          <w:bCs/>
          <w:sz w:val="24"/>
          <w:vertAlign w:val="subscript"/>
        </w:rPr>
        <w:t>2</w:t>
      </w:r>
      <w:r>
        <w:rPr>
          <w:rFonts w:ascii="Times New Roman" w:hAnsi="Times New Roman"/>
          <w:bCs/>
          <w:sz w:val="24"/>
        </w:rPr>
        <w:t>O on catalytic performance of manganese oxides in NO reduction by NH</w:t>
      </w:r>
      <w:r>
        <w:rPr>
          <w:rFonts w:ascii="Times New Roman" w:hAnsi="Times New Roman"/>
          <w:bCs/>
          <w:sz w:val="24"/>
          <w:vertAlign w:val="subscript"/>
        </w:rPr>
        <w:t>3</w:t>
      </w:r>
      <w:r>
        <w:rPr>
          <w:rFonts w:ascii="Times New Roman" w:hAnsi="Times New Roman"/>
          <w:bCs/>
          <w:sz w:val="24"/>
        </w:rPr>
        <w:t xml:space="preserve"> [J].</w:t>
      </w:r>
      <w:r>
        <w:rPr>
          <w:rFonts w:hint="eastAsia"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>Applied Catalysis A: General, 2012, 437: 139-148.</w:t>
      </w:r>
    </w:p>
    <w:p w14:paraId="4BB95A46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6692976-20FA-4F88-871F-C4B5EE00CB2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72B97A5-19C4-42E2-8473-52E8AF5BC050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7DA45EF4-92F6-40CD-90EA-B89D2AE31B8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书宋一简">
    <w:altName w:val="宋体"/>
    <w:panose1 w:val="00000000000000000000"/>
    <w:charset w:val="86"/>
    <w:family w:val="modern"/>
    <w:pitch w:val="default"/>
    <w:sig w:usb0="00000000" w:usb1="00000000" w:usb2="00000012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E820CE">
    <w:pPr>
      <w:pStyle w:val="3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1438AF">
                          <w:pPr>
                            <w:pStyle w:val="3"/>
                            <w:ind w:left="315" w:leftChars="150" w:right="315" w:rightChars="150"/>
                            <w:rPr>
                              <w:rStyle w:val="7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7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7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7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sz w:val="28"/>
                              <w:szCs w:val="28"/>
                            </w:rPr>
                            <w:t>15</w:t>
                          </w:r>
                          <w:r>
                            <w:rPr>
                              <w:rStyle w:val="7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LQ8m0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y0PJt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1438AF">
                    <w:pPr>
                      <w:pStyle w:val="3"/>
                      <w:ind w:left="315" w:leftChars="150" w:right="315" w:rightChars="150"/>
                      <w:rPr>
                        <w:rStyle w:val="7"/>
                        <w:sz w:val="28"/>
                        <w:szCs w:val="28"/>
                      </w:rPr>
                    </w:pPr>
                    <w:r>
                      <w:rPr>
                        <w:rStyle w:val="7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7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7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sz w:val="28"/>
                        <w:szCs w:val="28"/>
                      </w:rPr>
                      <w:t>15</w:t>
                    </w:r>
                    <w:r>
                      <w:rPr>
                        <w:rStyle w:val="7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7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F57F2F"/>
    <w:multiLevelType w:val="multilevel"/>
    <w:tmpl w:val="12F57F2F"/>
    <w:lvl w:ilvl="0" w:tentative="0">
      <w:start w:val="1"/>
      <w:numFmt w:val="decimal"/>
      <w:lvlText w:val="[%1]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7F1B6B"/>
    <w:rsid w:val="00B44CE3"/>
    <w:rsid w:val="0147778C"/>
    <w:rsid w:val="05C20583"/>
    <w:rsid w:val="06C46E6D"/>
    <w:rsid w:val="08461AA0"/>
    <w:rsid w:val="08601134"/>
    <w:rsid w:val="0A6A27BC"/>
    <w:rsid w:val="0FB80297"/>
    <w:rsid w:val="11BD75F7"/>
    <w:rsid w:val="123B45F5"/>
    <w:rsid w:val="167059E5"/>
    <w:rsid w:val="16B17859"/>
    <w:rsid w:val="185773FE"/>
    <w:rsid w:val="18966B94"/>
    <w:rsid w:val="19573678"/>
    <w:rsid w:val="1C22105F"/>
    <w:rsid w:val="1E85324A"/>
    <w:rsid w:val="1F3C5FC0"/>
    <w:rsid w:val="20191E9C"/>
    <w:rsid w:val="208F782D"/>
    <w:rsid w:val="23955CDE"/>
    <w:rsid w:val="23DD04D9"/>
    <w:rsid w:val="254A2BC2"/>
    <w:rsid w:val="25667A68"/>
    <w:rsid w:val="258B2157"/>
    <w:rsid w:val="272E5B2F"/>
    <w:rsid w:val="2C9025A1"/>
    <w:rsid w:val="2DF17CB7"/>
    <w:rsid w:val="32A836EC"/>
    <w:rsid w:val="32B10B8E"/>
    <w:rsid w:val="338755EA"/>
    <w:rsid w:val="3AA50AA5"/>
    <w:rsid w:val="45BC3DE0"/>
    <w:rsid w:val="46E325EE"/>
    <w:rsid w:val="475A031E"/>
    <w:rsid w:val="49311D9D"/>
    <w:rsid w:val="49E34A50"/>
    <w:rsid w:val="4A8A736F"/>
    <w:rsid w:val="4AD801EC"/>
    <w:rsid w:val="4CB627D7"/>
    <w:rsid w:val="4D800E36"/>
    <w:rsid w:val="5161323F"/>
    <w:rsid w:val="524D2C93"/>
    <w:rsid w:val="5413023D"/>
    <w:rsid w:val="57C31A8B"/>
    <w:rsid w:val="585B589C"/>
    <w:rsid w:val="5875356E"/>
    <w:rsid w:val="5E292E8F"/>
    <w:rsid w:val="5FC66889"/>
    <w:rsid w:val="5FFE3A15"/>
    <w:rsid w:val="60937BA3"/>
    <w:rsid w:val="62597551"/>
    <w:rsid w:val="650642CC"/>
    <w:rsid w:val="66FB3482"/>
    <w:rsid w:val="6B625C1E"/>
    <w:rsid w:val="707F1B6B"/>
    <w:rsid w:val="713779A1"/>
    <w:rsid w:val="776668EA"/>
    <w:rsid w:val="78DD7B6F"/>
    <w:rsid w:val="7C3725DB"/>
    <w:rsid w:val="7D27750D"/>
    <w:rsid w:val="7F5B0CFF"/>
    <w:rsid w:val="FFBE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qFormat/>
    <w:uiPriority w:val="0"/>
    <w:rPr>
      <w:rFonts w:asciiTheme="minorHAnsi" w:hAnsiTheme="minorHAnsi" w:eastAsiaTheme="minorEastAsia" w:cstheme="minorBidi"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3456</Words>
  <Characters>4407</Characters>
  <Lines>0</Lines>
  <Paragraphs>0</Paragraphs>
  <TotalTime>0</TotalTime>
  <ScaleCrop>false</ScaleCrop>
  <LinksUpToDate>false</LinksUpToDate>
  <CharactersWithSpaces>5119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2025-11-11T10:06:00Z</dcterms:created>
  <dc:creator>Ying</dc:creator>
  <cp:lastModifiedBy>Ying</cp:lastModifiedBy>
  <dcterms:modified xsi:type="dcterms:W3CDTF">2026-02-27T12:09:50Z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BA823F5203C74FFAB06F5A9859EB1C6A_13</vt:lpwstr>
  </property>
  <property fmtid="{D5CDD505-2E9C-101B-9397-08002B2CF9AE}" pid="4" name="KSOTemplateDocerSaveRecord">
    <vt:lpwstr>eyJoZGlkIjoiY2Q1MmVhYTIzZjlkOTI3ODNhYmNhN2NlZWQ5YWNiZDkiLCJ1c2VySWQiOiI5NzI5MTc5MTgifQ==</vt:lpwstr>
  </property>
</Properties>
</file>